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370A2E" w:rsidP="00701441">
            <w:pPr>
              <w:ind w:firstLine="176"/>
            </w:pPr>
            <w:r w:rsidRPr="00370A2E">
              <w:rPr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7A82C4" wp14:editId="0EF7900B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-215900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370A2E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2B04D4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7438B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438B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370A2E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2B04D4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2B04D4" w:rsidRPr="002B04D4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640F23A" wp14:editId="74996F96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0A2E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70A2E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370A2E" w:rsidRPr="00370A2E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70A2E" w:rsidRPr="00452C82" w:rsidRDefault="00370A2E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2F5" w:rsidRDefault="00C27E1C" w:rsidP="00D212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370A2E" w:rsidRPr="00370A2E" w:rsidRDefault="00D212F5" w:rsidP="00370A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452C8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D212F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70A2E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024E3C" w:rsidRDefault="00024E3C" w:rsidP="00024E3C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024E3C">
        <w:rPr>
          <w:b/>
          <w:bCs/>
          <w:sz w:val="28"/>
          <w:szCs w:val="28"/>
          <w:lang w:val="ru-RU"/>
        </w:rPr>
        <w:t>43.02.16  Туризм и гостеприимство</w:t>
      </w:r>
    </w:p>
    <w:p w:rsidR="00BC3064" w:rsidRPr="00BC3064" w:rsidRDefault="00BC3064" w:rsidP="00BC3064">
      <w:pPr>
        <w:jc w:val="center"/>
        <w:rPr>
          <w:sz w:val="28"/>
          <w:szCs w:val="28"/>
          <w:lang w:val="ru-RU"/>
        </w:rPr>
      </w:pPr>
      <w:r w:rsidRPr="00BC3064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BC3064" w:rsidRPr="00024E3C" w:rsidRDefault="00BC3064" w:rsidP="00024E3C">
      <w:pPr>
        <w:spacing w:before="240" w:line="360" w:lineRule="auto"/>
        <w:jc w:val="center"/>
        <w:rPr>
          <w:b/>
          <w:sz w:val="28"/>
          <w:szCs w:val="28"/>
          <w:lang w:val="ru-RU"/>
        </w:rPr>
      </w:pPr>
    </w:p>
    <w:p w:rsidR="00024E3C" w:rsidRPr="00D212F5" w:rsidRDefault="00D212F5" w:rsidP="00D212F5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квалификация выпускника: </w:t>
      </w:r>
      <w:r w:rsidR="00024E3C" w:rsidRPr="00024E3C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370A2E" w:rsidRDefault="00370A2E" w:rsidP="00C27E1C">
      <w:pPr>
        <w:contextualSpacing/>
        <w:rPr>
          <w:sz w:val="28"/>
          <w:szCs w:val="28"/>
          <w:lang w:val="ru-RU"/>
        </w:rPr>
      </w:pPr>
    </w:p>
    <w:p w:rsidR="00D212F5" w:rsidRDefault="00D212F5" w:rsidP="00C27E1C">
      <w:pPr>
        <w:contextualSpacing/>
        <w:rPr>
          <w:sz w:val="28"/>
          <w:szCs w:val="28"/>
          <w:lang w:val="ru-RU"/>
        </w:rPr>
      </w:pPr>
    </w:p>
    <w:p w:rsidR="00024E3C" w:rsidRDefault="00024E3C" w:rsidP="00C27E1C">
      <w:pPr>
        <w:contextualSpacing/>
        <w:rPr>
          <w:sz w:val="28"/>
          <w:szCs w:val="28"/>
          <w:lang w:val="ru-RU"/>
        </w:rPr>
      </w:pPr>
    </w:p>
    <w:p w:rsidR="00024E3C" w:rsidRPr="00452C82" w:rsidRDefault="00024E3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70A2E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370A2E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70A2E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BC306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D212F5" w:rsidRPr="00D212F5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BC306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2440D0" w:rsidRPr="00BC3064">
                    <w:rPr>
                      <w:sz w:val="28"/>
                      <w:szCs w:val="28"/>
                      <w:lang w:val="ru-RU"/>
                    </w:rPr>
                    <w:t xml:space="preserve">  (направленность предоставление туроператорских и турагентских услуг)</w:t>
                  </w:r>
                  <w:r w:rsidR="00024E3C" w:rsidRPr="00BC3064">
                    <w:rPr>
                      <w:sz w:val="28"/>
                      <w:szCs w:val="28"/>
                      <w:lang w:val="ru-RU"/>
                    </w:rPr>
                    <w:t>,</w:t>
                  </w:r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BC3064" w:rsidRPr="00BC3064">
                    <w:rPr>
                      <w:color w:val="000000"/>
                      <w:sz w:val="28"/>
                      <w:szCs w:val="28"/>
                      <w:lang w:val="ru-RU"/>
                    </w:rPr>
                    <w:t>12.12.2022г.№1100.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370A2E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370A2E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70A2E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370A2E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70A2E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BC3064" w:rsidRDefault="00BC306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70A2E" w:rsidRDefault="00370A2E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370A2E" w:rsidP="00370A2E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AA4435" w:rsidRPr="00452C82">
        <w:rPr>
          <w:color w:val="000000"/>
          <w:sz w:val="28"/>
          <w:szCs w:val="28"/>
          <w:lang w:val="ru-RU"/>
        </w:rPr>
        <w:t>Рабочая программа</w:t>
      </w:r>
      <w:r w:rsidR="00D212F5" w:rsidRPr="00D212F5">
        <w:rPr>
          <w:sz w:val="28"/>
          <w:szCs w:val="28"/>
          <w:lang w:val="ru-RU"/>
        </w:rPr>
        <w:t xml:space="preserve"> общеобразовательной</w:t>
      </w:r>
      <w:r w:rsidR="00D212F5" w:rsidRPr="00452C82">
        <w:rPr>
          <w:color w:val="000000"/>
          <w:sz w:val="28"/>
          <w:szCs w:val="28"/>
          <w:lang w:val="ru-RU"/>
        </w:rPr>
        <w:t xml:space="preserve"> </w:t>
      </w:r>
      <w:r w:rsidR="00AA4435"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D212F5">
        <w:rPr>
          <w:i/>
          <w:color w:val="000000"/>
          <w:sz w:val="28"/>
          <w:szCs w:val="28"/>
          <w:lang w:val="ru-RU"/>
        </w:rPr>
        <w:t>О</w:t>
      </w:r>
      <w:r w:rsidR="002B04D4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="00AA4435" w:rsidRPr="00452C82">
        <w:rPr>
          <w:i/>
          <w:color w:val="000000"/>
          <w:sz w:val="28"/>
          <w:szCs w:val="28"/>
          <w:lang w:val="ru-RU"/>
        </w:rPr>
        <w:t>Информатика</w:t>
      </w:r>
      <w:r w:rsidR="00AA4435"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AA4435"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AA4435"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AA4435" w:rsidRPr="00452C82">
        <w:rPr>
          <w:sz w:val="28"/>
          <w:szCs w:val="28"/>
          <w:lang w:val="ru-RU"/>
        </w:rPr>
        <w:t xml:space="preserve">информатики, </w:t>
      </w:r>
      <w:r w:rsidR="00AA4435" w:rsidRPr="00452C82">
        <w:rPr>
          <w:color w:val="000000"/>
          <w:sz w:val="28"/>
          <w:szCs w:val="28"/>
          <w:lang w:val="ru-RU"/>
        </w:rPr>
        <w:t>протокол</w:t>
      </w:r>
      <w:r w:rsidR="00AA4435" w:rsidRPr="00452C82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28 мая 2025 г</w:t>
      </w:r>
      <w:r w:rsidR="00D212F5">
        <w:rPr>
          <w:sz w:val="28"/>
          <w:szCs w:val="28"/>
          <w:lang w:val="ru-RU"/>
        </w:rPr>
        <w:t xml:space="preserve">. </w:t>
      </w:r>
      <w:r w:rsidR="00AA4435" w:rsidRPr="00BB7F05">
        <w:rPr>
          <w:sz w:val="28"/>
          <w:szCs w:val="28"/>
          <w:lang w:val="ru-RU"/>
        </w:rPr>
        <w:t xml:space="preserve">№ </w:t>
      </w:r>
      <w:r w:rsidR="00BB7F05" w:rsidRPr="00BB7F05">
        <w:rPr>
          <w:sz w:val="28"/>
          <w:szCs w:val="28"/>
          <w:lang w:val="ru-RU"/>
        </w:rPr>
        <w:t>9</w:t>
      </w:r>
      <w:r w:rsidR="00AA4435" w:rsidRPr="00BB7F05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81781" w:rsidRPr="00F81781" w:rsidRDefault="00F81781" w:rsidP="00F8178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81781">
        <w:rPr>
          <w:color w:val="000000"/>
          <w:sz w:val="28"/>
          <w:szCs w:val="28"/>
          <w:lang w:val="ru-RU"/>
        </w:rPr>
        <w:t xml:space="preserve">Заведующий кафедрой информатики        </w:t>
      </w:r>
      <w:r w:rsidR="00370A2E">
        <w:rPr>
          <w:color w:val="000000"/>
          <w:sz w:val="28"/>
          <w:szCs w:val="28"/>
          <w:lang w:val="ru-RU"/>
        </w:rPr>
        <w:t xml:space="preserve">      </w:t>
      </w:r>
      <w:r w:rsidRPr="00F81781">
        <w:rPr>
          <w:color w:val="000000"/>
          <w:sz w:val="28"/>
          <w:szCs w:val="28"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1023620" cy="3136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781">
        <w:rPr>
          <w:color w:val="000000"/>
          <w:sz w:val="28"/>
          <w:szCs w:val="28"/>
          <w:lang w:val="ru-RU"/>
        </w:rPr>
        <w:t xml:space="preserve">        </w:t>
      </w:r>
      <w:r w:rsidR="00370A2E">
        <w:rPr>
          <w:color w:val="000000"/>
          <w:sz w:val="28"/>
          <w:szCs w:val="28"/>
          <w:lang w:val="ru-RU"/>
        </w:rPr>
        <w:t xml:space="preserve"> </w:t>
      </w:r>
      <w:r w:rsidRPr="00F81781">
        <w:rPr>
          <w:color w:val="000000"/>
          <w:sz w:val="28"/>
          <w:szCs w:val="28"/>
          <w:lang w:val="ru-RU"/>
        </w:rPr>
        <w:t xml:space="preserve"> М.К. Черняков  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024E3C" w:rsidRDefault="002B04D4" w:rsidP="00D212F5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</w:t>
            </w:r>
            <w:r w:rsidR="00BB7F05" w:rsidRPr="00024E3C">
              <w:rPr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С</w:t>
            </w:r>
            <w:r w:rsidR="00BB7F05" w:rsidRPr="00024E3C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У</w:t>
            </w:r>
            <w:r w:rsidR="00BB7F05" w:rsidRPr="00024E3C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024E3C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К</w:t>
            </w:r>
            <w:r w:rsidR="00BB7F05" w:rsidRPr="00024E3C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D212F5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1E1F45">
        <w:rPr>
          <w:b/>
          <w:sz w:val="28"/>
          <w:szCs w:val="28"/>
          <w:lang w:val="ru-RU"/>
        </w:rPr>
        <w:lastRenderedPageBreak/>
        <w:t>ОБЩАЯ ХАРАКТЕРИСТИКА РАБОЧЕЙ ПРОГР</w:t>
      </w:r>
      <w:r w:rsidR="00D212F5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024E3C" w:rsidRDefault="001E1F45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D212F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024E3C" w:rsidRPr="00024E3C">
        <w:rPr>
          <w:sz w:val="28"/>
          <w:szCs w:val="28"/>
          <w:lang w:val="ru-RU"/>
        </w:rPr>
        <w:t>43.02.16 Туризм и гостеприимство</w:t>
      </w:r>
      <w:r w:rsidR="002440D0" w:rsidRPr="00BC3064">
        <w:rPr>
          <w:sz w:val="28"/>
          <w:szCs w:val="28"/>
          <w:lang w:val="ru-RU"/>
        </w:rPr>
        <w:t xml:space="preserve">      (направленность предоставление туроператорских и турагентских услуг)</w:t>
      </w:r>
      <w:r w:rsidR="00024E3C" w:rsidRPr="00024E3C">
        <w:rPr>
          <w:sz w:val="28"/>
          <w:szCs w:val="28"/>
          <w:lang w:val="ru-RU"/>
        </w:rPr>
        <w:t>.</w:t>
      </w:r>
    </w:p>
    <w:p w:rsidR="00AB161A" w:rsidRDefault="00AB161A" w:rsidP="00D212F5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D212F5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D212F5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D212F5" w:rsidRDefault="00A20BA9" w:rsidP="00D212F5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D212F5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D212F5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D212F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212F5" w:rsidRDefault="00D212F5" w:rsidP="00D212F5">
      <w:pPr>
        <w:jc w:val="both"/>
        <w:rPr>
          <w:sz w:val="28"/>
          <w:szCs w:val="28"/>
          <w:lang w:val="ru-RU"/>
        </w:rPr>
        <w:sectPr w:rsidR="00D212F5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8408D" w:rsidRDefault="0008408D" w:rsidP="00D212F5">
      <w:pPr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D212F5">
          <w:type w:val="continuous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370A2E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Pr="00024E3C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</w:t>
            </w:r>
            <w:r w:rsidR="00A814CB" w:rsidRPr="00024E3C">
              <w:rPr>
                <w:sz w:val="28"/>
                <w:szCs w:val="28"/>
                <w:lang w:val="ru-RU"/>
              </w:rPr>
              <w:t xml:space="preserve"> </w:t>
            </w:r>
            <w:r w:rsidRPr="00024E3C"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 w:rsidRPr="00024E3C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024E3C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 w:rsidRPr="00024E3C">
              <w:rPr>
                <w:sz w:val="28"/>
                <w:szCs w:val="28"/>
                <w:lang w:val="ru-RU"/>
              </w:rPr>
              <w:t>б</w:t>
            </w:r>
            <w:r w:rsidRPr="00024E3C">
              <w:rPr>
                <w:sz w:val="28"/>
                <w:szCs w:val="28"/>
                <w:lang w:val="ru-RU"/>
              </w:rPr>
              <w:t>щения;</w:t>
            </w:r>
          </w:p>
          <w:p w:rsidR="00A814CB" w:rsidRPr="00024E3C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Pr="00024E3C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 w:rsidRPr="00024E3C">
              <w:rPr>
                <w:sz w:val="28"/>
                <w:szCs w:val="28"/>
                <w:lang w:val="ru-RU"/>
              </w:rPr>
              <w:t>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024E3C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б</w:t>
            </w:r>
            <w:proofErr w:type="gramStart"/>
            <w:r w:rsidRPr="00024E3C">
              <w:rPr>
                <w:sz w:val="28"/>
                <w:szCs w:val="28"/>
                <w:lang w:val="ru-RU"/>
              </w:rPr>
              <w:t>)</w:t>
            </w:r>
            <w:r w:rsidR="00AD63B8" w:rsidRPr="00024E3C">
              <w:rPr>
                <w:sz w:val="28"/>
                <w:szCs w:val="28"/>
                <w:lang w:val="ru-RU"/>
              </w:rPr>
              <w:t>б</w:t>
            </w:r>
            <w:proofErr w:type="gramEnd"/>
            <w:r w:rsidR="00AD63B8" w:rsidRPr="00024E3C">
              <w:rPr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 w:rsidRPr="00024E3C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Pr="00024E3C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Pr="00024E3C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024E3C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- сформировать мировоззрения</w:t>
            </w:r>
            <w:r>
              <w:rPr>
                <w:sz w:val="28"/>
                <w:szCs w:val="28"/>
                <w:lang w:val="ru-RU"/>
              </w:rPr>
              <w:t>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24E3C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024E3C" w:rsidRDefault="00EC7257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024E3C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D212F5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370A2E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370A2E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0D1154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0D1154">
              <w:rPr>
                <w:sz w:val="28"/>
                <w:szCs w:val="28"/>
                <w:lang w:val="ru-RU"/>
              </w:rPr>
              <w:t>. Расчет туристических маршрутов и траекторий.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0D1154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70A2E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370A2E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370A2E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731E30">
              <w:rPr>
                <w:sz w:val="28"/>
                <w:szCs w:val="28"/>
                <w:lang w:val="ru-RU"/>
              </w:rPr>
              <w:t>, связанных с защитой личных данных клиентов.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370A2E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6727F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76727F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76727F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76727F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70A2E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731E30">
              <w:rPr>
                <w:sz w:val="28"/>
                <w:szCs w:val="28"/>
                <w:lang w:val="ru-RU"/>
              </w:rPr>
              <w:t xml:space="preserve">. Оформление договоров, справочников, путеводителей, указателей, рекламных </w:t>
            </w:r>
            <w:r w:rsidR="009F2C3E">
              <w:rPr>
                <w:sz w:val="28"/>
                <w:szCs w:val="28"/>
                <w:lang w:val="ru-RU"/>
              </w:rPr>
              <w:t>брошюр</w:t>
            </w:r>
            <w:r w:rsidR="00731E3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731E30" w:rsidRDefault="003E58A5">
      <w:pPr>
        <w:rPr>
          <w:lang w:val="ru-RU"/>
        </w:rPr>
      </w:pPr>
      <w:r w:rsidRPr="00731E30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731E30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731E30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731E30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продукции.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731E30">
              <w:rPr>
                <w:sz w:val="28"/>
                <w:szCs w:val="28"/>
                <w:lang w:val="ru-RU"/>
              </w:rPr>
              <w:t>. Оформление рекламной продукции</w:t>
            </w:r>
            <w:r w:rsidR="00F30B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70A2E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731E30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370A2E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1E30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1E30">
              <w:rPr>
                <w:sz w:val="28"/>
                <w:szCs w:val="28"/>
                <w:lang w:val="ru-RU"/>
              </w:rPr>
              <w:t>. Оформление информационных панорам для клиентов.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1E30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1E30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F30B93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F30B93">
              <w:rPr>
                <w:sz w:val="28"/>
                <w:szCs w:val="28"/>
                <w:lang w:val="ru-RU"/>
              </w:rPr>
              <w:t>. Создание простейших информационных сайтов.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F30B93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F30B93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370A2E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70A2E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731E30">
              <w:rPr>
                <w:sz w:val="28"/>
                <w:szCs w:val="28"/>
                <w:lang w:val="ru-RU"/>
              </w:rPr>
              <w:t>. Моделирование маршрутов передвижения и размещения.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731E30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370A2E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370A2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370A2E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  <w:r w:rsidR="00731E30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731E30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731E30">
              <w:rPr>
                <w:sz w:val="28"/>
                <w:szCs w:val="28"/>
                <w:lang w:val="ru-RU"/>
              </w:rPr>
              <w:t xml:space="preserve">. Формирование баз данных в области туризма и гостеприимства. 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731E30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370A2E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занятия по теме: «Формулы и функции в электронных </w:t>
            </w:r>
            <w:r>
              <w:rPr>
                <w:sz w:val="28"/>
                <w:szCs w:val="28"/>
                <w:lang w:val="ru-RU"/>
              </w:rPr>
              <w:lastRenderedPageBreak/>
              <w:t>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370A2E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DA4D03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731E30">
              <w:rPr>
                <w:sz w:val="28"/>
                <w:szCs w:val="28"/>
                <w:lang w:val="ru-RU"/>
              </w:rPr>
              <w:t>. Создание сводных отчетов по результатам размещения клиентов.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731E30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D212F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D212F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D212F5">
        <w:rPr>
          <w:sz w:val="28"/>
          <w:szCs w:val="28"/>
          <w:lang w:val="ru-RU"/>
        </w:rPr>
        <w:t>ОД.</w:t>
      </w:r>
      <w:r>
        <w:rPr>
          <w:sz w:val="28"/>
          <w:szCs w:val="28"/>
          <w:lang w:val="ru-RU"/>
        </w:rPr>
        <w:t xml:space="preserve">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370A2E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370A2E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370A2E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370A2E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370A2E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370A2E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370A2E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54" w:rsidRDefault="000D1154" w:rsidP="0008408D">
      <w:r>
        <w:separator/>
      </w:r>
    </w:p>
  </w:endnote>
  <w:endnote w:type="continuationSeparator" w:id="0">
    <w:p w:rsidR="000D1154" w:rsidRDefault="000D1154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0D1154" w:rsidRDefault="000D11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2E" w:rsidRPr="00370A2E">
          <w:rPr>
            <w:noProof/>
            <w:lang w:val="ru-RU"/>
          </w:rPr>
          <w:t>9</w:t>
        </w:r>
        <w:r>
          <w:fldChar w:fldCharType="end"/>
        </w:r>
      </w:p>
    </w:sdtContent>
  </w:sdt>
  <w:p w:rsidR="000D1154" w:rsidRDefault="000D11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54" w:rsidRDefault="000D1154" w:rsidP="0008408D">
      <w:r>
        <w:separator/>
      </w:r>
    </w:p>
  </w:footnote>
  <w:footnote w:type="continuationSeparator" w:id="0">
    <w:p w:rsidR="000D1154" w:rsidRDefault="000D1154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1592D"/>
    <w:multiLevelType w:val="hybridMultilevel"/>
    <w:tmpl w:val="41721A56"/>
    <w:lvl w:ilvl="0" w:tplc="659EC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4E3C"/>
    <w:rsid w:val="000317E2"/>
    <w:rsid w:val="00032D52"/>
    <w:rsid w:val="0008408D"/>
    <w:rsid w:val="00091B7C"/>
    <w:rsid w:val="00093AAB"/>
    <w:rsid w:val="000A1E92"/>
    <w:rsid w:val="000A57B0"/>
    <w:rsid w:val="000D1154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40D0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0A2E"/>
    <w:rsid w:val="0037177E"/>
    <w:rsid w:val="0037272E"/>
    <w:rsid w:val="0039101F"/>
    <w:rsid w:val="003A5C8D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1E30"/>
    <w:rsid w:val="007438BB"/>
    <w:rsid w:val="00746AE1"/>
    <w:rsid w:val="00760116"/>
    <w:rsid w:val="00762E2F"/>
    <w:rsid w:val="00766AC6"/>
    <w:rsid w:val="0076727F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87523"/>
    <w:rsid w:val="00995A8D"/>
    <w:rsid w:val="009A3510"/>
    <w:rsid w:val="009B42C8"/>
    <w:rsid w:val="009F2C3E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C3064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2F5"/>
    <w:rsid w:val="00D21A8F"/>
    <w:rsid w:val="00DA4D03"/>
    <w:rsid w:val="00DB13F1"/>
    <w:rsid w:val="00DE0F34"/>
    <w:rsid w:val="00E10B57"/>
    <w:rsid w:val="00E23911"/>
    <w:rsid w:val="00E34375"/>
    <w:rsid w:val="00E50ADA"/>
    <w:rsid w:val="00E84AF3"/>
    <w:rsid w:val="00EC352F"/>
    <w:rsid w:val="00EC7257"/>
    <w:rsid w:val="00EE3313"/>
    <w:rsid w:val="00EE6FD1"/>
    <w:rsid w:val="00EF4D8C"/>
    <w:rsid w:val="00F04433"/>
    <w:rsid w:val="00F07A2F"/>
    <w:rsid w:val="00F30B93"/>
    <w:rsid w:val="00F3551C"/>
    <w:rsid w:val="00F43E6F"/>
    <w:rsid w:val="00F701AD"/>
    <w:rsid w:val="00F81781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2A0E-52BF-475F-8876-0B239996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18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17</cp:revision>
  <cp:lastPrinted>2023-08-28T06:38:00Z</cp:lastPrinted>
  <dcterms:created xsi:type="dcterms:W3CDTF">2023-06-05T08:08:00Z</dcterms:created>
  <dcterms:modified xsi:type="dcterms:W3CDTF">2025-08-18T03:18:00Z</dcterms:modified>
</cp:coreProperties>
</file>